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B85" w:rsidRPr="008F2B85" w:rsidRDefault="008F2B85" w:rsidP="008F2B85">
      <w:pPr>
        <w:ind w:right="170" w:firstLine="709"/>
        <w:jc w:val="center"/>
        <w:rPr>
          <w:sz w:val="44"/>
          <w:szCs w:val="44"/>
        </w:rPr>
      </w:pPr>
      <w:r w:rsidRPr="008F2B85">
        <w:rPr>
          <w:sz w:val="44"/>
          <w:szCs w:val="44"/>
        </w:rPr>
        <w:t xml:space="preserve">Памятка для </w:t>
      </w:r>
      <w:r>
        <w:rPr>
          <w:sz w:val="44"/>
          <w:szCs w:val="44"/>
        </w:rPr>
        <w:t>ИКУ</w:t>
      </w:r>
    </w:p>
    <w:p w:rsidR="008F2B85" w:rsidRDefault="008F2B85" w:rsidP="008F2B85">
      <w:pPr>
        <w:ind w:right="170" w:firstLine="709"/>
        <w:jc w:val="both"/>
        <w:rPr>
          <w:szCs w:val="24"/>
        </w:rPr>
      </w:pPr>
    </w:p>
    <w:p w:rsidR="008F2B85" w:rsidRPr="003453C6" w:rsidRDefault="008F2B85" w:rsidP="003453C6">
      <w:pPr>
        <w:pStyle w:val="afb"/>
        <w:numPr>
          <w:ilvl w:val="0"/>
          <w:numId w:val="11"/>
        </w:numPr>
        <w:ind w:right="170"/>
        <w:jc w:val="both"/>
        <w:rPr>
          <w:szCs w:val="24"/>
        </w:rPr>
      </w:pPr>
      <w:r w:rsidRPr="003453C6">
        <w:rPr>
          <w:szCs w:val="24"/>
        </w:rPr>
        <w:t xml:space="preserve">После подписания дополнительного соглашения, </w:t>
      </w:r>
      <w:r w:rsidR="003453C6" w:rsidRPr="003453C6">
        <w:rPr>
          <w:szCs w:val="24"/>
        </w:rPr>
        <w:t>ООО «МРЦ» в течении 1 дня направляет в адрес Исполнител</w:t>
      </w:r>
      <w:r w:rsidR="003453C6">
        <w:rPr>
          <w:szCs w:val="24"/>
        </w:rPr>
        <w:t>я</w:t>
      </w:r>
      <w:r w:rsidR="003453C6" w:rsidRPr="003453C6">
        <w:rPr>
          <w:szCs w:val="24"/>
        </w:rPr>
        <w:t xml:space="preserve"> коммунальных услуг выгрузку последних учтенных показаний по </w:t>
      </w:r>
      <w:r w:rsidR="003453C6">
        <w:rPr>
          <w:szCs w:val="24"/>
        </w:rPr>
        <w:t>индивидуальным приборам учета (далее ИПУ)</w:t>
      </w:r>
      <w:r w:rsidR="003453C6" w:rsidRPr="003453C6">
        <w:rPr>
          <w:szCs w:val="24"/>
        </w:rPr>
        <w:t>, список отключенных квартир по каждому МКЖД и реестр для передачи показаний по ИПУ.</w:t>
      </w:r>
    </w:p>
    <w:p w:rsidR="003453C6" w:rsidRDefault="003453C6" w:rsidP="003453C6">
      <w:pPr>
        <w:pStyle w:val="afb"/>
        <w:numPr>
          <w:ilvl w:val="0"/>
          <w:numId w:val="11"/>
        </w:numPr>
        <w:ind w:right="170"/>
        <w:jc w:val="both"/>
        <w:rPr>
          <w:szCs w:val="24"/>
        </w:rPr>
      </w:pPr>
      <w:r w:rsidRPr="003453C6">
        <w:rPr>
          <w:szCs w:val="24"/>
        </w:rPr>
        <w:t>Исполнитель коммунальных услуг</w:t>
      </w:r>
      <w:r w:rsidR="00D86714">
        <w:rPr>
          <w:szCs w:val="24"/>
        </w:rPr>
        <w:t xml:space="preserve"> </w:t>
      </w:r>
      <w:r>
        <w:rPr>
          <w:szCs w:val="24"/>
        </w:rPr>
        <w:t>производит инвентаризацию нежилых помещений в МКЖД для проведения корректных расчетов</w:t>
      </w:r>
      <w:r w:rsidR="00D86714">
        <w:rPr>
          <w:szCs w:val="24"/>
        </w:rPr>
        <w:t>.</w:t>
      </w:r>
    </w:p>
    <w:p w:rsidR="008F2B85" w:rsidRDefault="008F2B85" w:rsidP="003453C6">
      <w:pPr>
        <w:pStyle w:val="afb"/>
        <w:numPr>
          <w:ilvl w:val="0"/>
          <w:numId w:val="11"/>
        </w:numPr>
        <w:ind w:right="170"/>
        <w:jc w:val="both"/>
        <w:rPr>
          <w:szCs w:val="24"/>
        </w:rPr>
      </w:pPr>
      <w:r w:rsidRPr="003453C6">
        <w:rPr>
          <w:szCs w:val="24"/>
        </w:rPr>
        <w:t>Исполнитель коммунальных услуг производит первое снятие показаний ИПУ с использованием фотофиксации</w:t>
      </w:r>
      <w:r w:rsidR="00EF1044">
        <w:rPr>
          <w:szCs w:val="24"/>
        </w:rPr>
        <w:t xml:space="preserve"> с 23</w:t>
      </w:r>
      <w:r w:rsidRPr="003453C6">
        <w:rPr>
          <w:szCs w:val="24"/>
        </w:rPr>
        <w:t xml:space="preserve"> </w:t>
      </w:r>
      <w:r w:rsidR="00EF1044">
        <w:rPr>
          <w:szCs w:val="24"/>
        </w:rPr>
        <w:t>по</w:t>
      </w:r>
      <w:r w:rsidRPr="003453C6">
        <w:rPr>
          <w:szCs w:val="24"/>
        </w:rPr>
        <w:t xml:space="preserve"> 25 числ</w:t>
      </w:r>
      <w:r w:rsidR="00EF1044">
        <w:rPr>
          <w:szCs w:val="24"/>
        </w:rPr>
        <w:t>о</w:t>
      </w:r>
      <w:r w:rsidRPr="003453C6">
        <w:rPr>
          <w:szCs w:val="24"/>
        </w:rPr>
        <w:t xml:space="preserve"> расчетного месяца и направляет в ООО «МРЦ»</w:t>
      </w:r>
      <w:r w:rsidR="003453C6">
        <w:rPr>
          <w:szCs w:val="24"/>
        </w:rPr>
        <w:t xml:space="preserve"> </w:t>
      </w:r>
      <w:r w:rsidR="0040026B">
        <w:rPr>
          <w:szCs w:val="24"/>
        </w:rPr>
        <w:t>файлы фотофиксации на</w:t>
      </w:r>
      <w:r w:rsidR="005F5C54" w:rsidRPr="008F31B5">
        <w:rPr>
          <w:szCs w:val="24"/>
        </w:rPr>
        <w:t xml:space="preserve">  e-</w:t>
      </w:r>
      <w:proofErr w:type="spellStart"/>
      <w:r w:rsidR="005F5C54" w:rsidRPr="008F31B5">
        <w:rPr>
          <w:szCs w:val="24"/>
        </w:rPr>
        <w:t>mail</w:t>
      </w:r>
      <w:proofErr w:type="spellEnd"/>
      <w:r w:rsidR="005F5C54" w:rsidRPr="008F31B5">
        <w:rPr>
          <w:szCs w:val="24"/>
        </w:rPr>
        <w:t>:</w:t>
      </w:r>
      <w:r w:rsidR="005F5C54">
        <w:rPr>
          <w:szCs w:val="24"/>
        </w:rPr>
        <w:t xml:space="preserve"> </w:t>
      </w:r>
      <w:hyperlink r:id="rId8" w:history="1">
        <w:r w:rsidR="005F5C54" w:rsidRPr="0084505E">
          <w:rPr>
            <w:rStyle w:val="af9"/>
          </w:rPr>
          <w:t>turtsevaia@astrc.ru</w:t>
        </w:r>
      </w:hyperlink>
      <w:r w:rsidR="005F5C54">
        <w:t xml:space="preserve"> </w:t>
      </w:r>
      <w:r w:rsidR="0040026B">
        <w:t xml:space="preserve"> и </w:t>
      </w:r>
      <w:r w:rsidR="003453C6" w:rsidRPr="003453C6">
        <w:rPr>
          <w:szCs w:val="24"/>
        </w:rPr>
        <w:t>реестр для передачи показаний по ИПУ</w:t>
      </w:r>
      <w:r w:rsidR="0040026B">
        <w:rPr>
          <w:szCs w:val="24"/>
        </w:rPr>
        <w:t xml:space="preserve"> </w:t>
      </w:r>
      <w:r w:rsidR="0040026B" w:rsidRPr="008F31B5">
        <w:rPr>
          <w:szCs w:val="24"/>
        </w:rPr>
        <w:t>на  e-</w:t>
      </w:r>
      <w:proofErr w:type="spellStart"/>
      <w:r w:rsidR="0040026B" w:rsidRPr="008F31B5">
        <w:rPr>
          <w:szCs w:val="24"/>
        </w:rPr>
        <w:t>mail</w:t>
      </w:r>
      <w:proofErr w:type="spellEnd"/>
      <w:r w:rsidR="0040026B" w:rsidRPr="008F31B5">
        <w:rPr>
          <w:szCs w:val="24"/>
        </w:rPr>
        <w:t>:</w:t>
      </w:r>
      <w:r w:rsidR="0040026B">
        <w:rPr>
          <w:szCs w:val="24"/>
        </w:rPr>
        <w:t xml:space="preserve"> </w:t>
      </w:r>
      <w:hyperlink r:id="rId9" w:history="1">
        <w:r w:rsidR="0040026B" w:rsidRPr="003B5A67">
          <w:rPr>
            <w:rStyle w:val="af9"/>
            <w:szCs w:val="24"/>
          </w:rPr>
          <w:t>pokazaniya@astrc.ru</w:t>
        </w:r>
      </w:hyperlink>
      <w:r w:rsidR="003453C6">
        <w:rPr>
          <w:szCs w:val="24"/>
        </w:rPr>
        <w:t xml:space="preserve"> </w:t>
      </w:r>
      <w:r w:rsidRPr="003453C6">
        <w:rPr>
          <w:szCs w:val="24"/>
        </w:rPr>
        <w:t>в срок до 26 числа расчетного месяца</w:t>
      </w:r>
      <w:r w:rsidR="003453C6">
        <w:rPr>
          <w:szCs w:val="24"/>
        </w:rPr>
        <w:t xml:space="preserve"> для учета данных показаний в базе данных физических лиц.</w:t>
      </w:r>
    </w:p>
    <w:p w:rsidR="0040026B" w:rsidRPr="0040026B" w:rsidRDefault="0040026B" w:rsidP="0040026B">
      <w:pPr>
        <w:pStyle w:val="afb"/>
        <w:numPr>
          <w:ilvl w:val="0"/>
          <w:numId w:val="11"/>
        </w:numPr>
        <w:ind w:right="170"/>
        <w:jc w:val="both"/>
        <w:rPr>
          <w:szCs w:val="24"/>
        </w:rPr>
      </w:pPr>
      <w:r w:rsidRPr="0040026B">
        <w:rPr>
          <w:szCs w:val="24"/>
        </w:rPr>
        <w:t xml:space="preserve">В первые </w:t>
      </w:r>
      <w:r>
        <w:rPr>
          <w:szCs w:val="24"/>
        </w:rPr>
        <w:t>пять</w:t>
      </w:r>
      <w:r w:rsidRPr="0040026B">
        <w:rPr>
          <w:szCs w:val="24"/>
        </w:rPr>
        <w:t xml:space="preserve"> </w:t>
      </w:r>
      <w:r>
        <w:rPr>
          <w:szCs w:val="24"/>
        </w:rPr>
        <w:t xml:space="preserve">дней </w:t>
      </w:r>
      <w:r w:rsidRPr="0040026B">
        <w:rPr>
          <w:szCs w:val="24"/>
        </w:rPr>
        <w:t>месяца, следующего за расчетным месяцем,</w:t>
      </w:r>
      <w:r>
        <w:rPr>
          <w:szCs w:val="24"/>
        </w:rPr>
        <w:t xml:space="preserve"> </w:t>
      </w:r>
      <w:r w:rsidRPr="0040026B">
        <w:rPr>
          <w:szCs w:val="24"/>
        </w:rPr>
        <w:t xml:space="preserve">Исполнитель </w:t>
      </w:r>
      <w:r w:rsidRPr="003453C6">
        <w:rPr>
          <w:szCs w:val="24"/>
        </w:rPr>
        <w:t>коммунальных услуг</w:t>
      </w:r>
      <w:r w:rsidRPr="0040026B">
        <w:rPr>
          <w:szCs w:val="24"/>
        </w:rPr>
        <w:t xml:space="preserve"> самостоятельно производит выгрузку сведений об объёме электрической энергии, начисленной по жилым помещениям из ЛК ЮЛ для учета указанных данных при заполнении срочного донесения согласно приложению №4. </w:t>
      </w:r>
    </w:p>
    <w:p w:rsidR="008107B4" w:rsidRDefault="009758EE" w:rsidP="008107B4">
      <w:pPr>
        <w:pStyle w:val="afb"/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4"/>
        </w:rPr>
      </w:pPr>
      <w:r w:rsidRPr="009758EE">
        <w:rPr>
          <w:szCs w:val="24"/>
        </w:rPr>
        <w:t xml:space="preserve">Ежемесячно в первые пять рабочих дней месяца, следующего за расчетным месяцем, </w:t>
      </w:r>
      <w:r w:rsidRPr="0040026B">
        <w:rPr>
          <w:szCs w:val="24"/>
        </w:rPr>
        <w:t xml:space="preserve">Исполнитель </w:t>
      </w:r>
      <w:r w:rsidRPr="003453C6">
        <w:rPr>
          <w:szCs w:val="24"/>
        </w:rPr>
        <w:t>коммунальных услуг</w:t>
      </w:r>
      <w:r w:rsidRPr="009758EE">
        <w:rPr>
          <w:szCs w:val="24"/>
        </w:rPr>
        <w:t xml:space="preserve"> </w:t>
      </w:r>
      <w:r>
        <w:rPr>
          <w:szCs w:val="24"/>
        </w:rPr>
        <w:t xml:space="preserve">предоставляет в адрес ООО «МРЦ» </w:t>
      </w:r>
      <w:r w:rsidRPr="008F31B5">
        <w:rPr>
          <w:szCs w:val="24"/>
        </w:rPr>
        <w:t>на  e-</w:t>
      </w:r>
      <w:proofErr w:type="spellStart"/>
      <w:r w:rsidRPr="008F31B5">
        <w:rPr>
          <w:szCs w:val="24"/>
        </w:rPr>
        <w:t>mail</w:t>
      </w:r>
      <w:proofErr w:type="spellEnd"/>
      <w:r w:rsidRPr="008F31B5">
        <w:rPr>
          <w:szCs w:val="24"/>
        </w:rPr>
        <w:t>:</w:t>
      </w:r>
      <w:r>
        <w:rPr>
          <w:szCs w:val="24"/>
        </w:rPr>
        <w:t xml:space="preserve"> </w:t>
      </w:r>
      <w:hyperlink r:id="rId10" w:history="1">
        <w:r w:rsidRPr="003B5A67">
          <w:rPr>
            <w:rStyle w:val="af9"/>
            <w:szCs w:val="24"/>
          </w:rPr>
          <w:t>pokazaniya@astrc.ru</w:t>
        </w:r>
      </w:hyperlink>
      <w:r>
        <w:rPr>
          <w:rStyle w:val="af9"/>
          <w:szCs w:val="24"/>
        </w:rPr>
        <w:t xml:space="preserve"> </w:t>
      </w:r>
      <w:r w:rsidRPr="009758EE">
        <w:rPr>
          <w:szCs w:val="24"/>
        </w:rPr>
        <w:t>сведения о потребленной электроэнергии (Срочное донесение) по форме Приложения № 4 к настоящему Договору. Допускается пред</w:t>
      </w:r>
      <w:r w:rsidR="000845E1">
        <w:rPr>
          <w:szCs w:val="24"/>
        </w:rPr>
        <w:t>о</w:t>
      </w:r>
      <w:r w:rsidRPr="009758EE">
        <w:rPr>
          <w:szCs w:val="24"/>
        </w:rPr>
        <w:t>ставление срочного донесения с использованием электронной почты в виде электронного документа</w:t>
      </w:r>
      <w:r w:rsidR="00920FE1">
        <w:rPr>
          <w:szCs w:val="24"/>
        </w:rPr>
        <w:t xml:space="preserve"> с подписью и печатью</w:t>
      </w:r>
      <w:r w:rsidRPr="009758EE">
        <w:rPr>
          <w:szCs w:val="24"/>
        </w:rPr>
        <w:t xml:space="preserve">. Представляемое Срочное донесение должно содержать сведения о потребленной </w:t>
      </w:r>
      <w:r w:rsidR="006C1268">
        <w:rPr>
          <w:szCs w:val="24"/>
        </w:rPr>
        <w:t>ИКУ</w:t>
      </w:r>
      <w:r w:rsidRPr="009758EE">
        <w:rPr>
          <w:szCs w:val="24"/>
        </w:rPr>
        <w:t xml:space="preserve"> электроэнергии в расчетном периоде, рассчитанной на основании показаний ОДПУ и показаний ИПУ за истекший расчетный период</w:t>
      </w:r>
      <w:r w:rsidR="006C1268">
        <w:rPr>
          <w:szCs w:val="24"/>
        </w:rPr>
        <w:t>.</w:t>
      </w:r>
      <w:r w:rsidRPr="009758EE">
        <w:rPr>
          <w:szCs w:val="24"/>
        </w:rPr>
        <w:t xml:space="preserve"> </w:t>
      </w:r>
      <w:r w:rsidR="006C1268">
        <w:rPr>
          <w:szCs w:val="24"/>
        </w:rPr>
        <w:t>К</w:t>
      </w:r>
      <w:r w:rsidRPr="009758EE">
        <w:rPr>
          <w:szCs w:val="24"/>
        </w:rPr>
        <w:t xml:space="preserve"> срочному донесению также должны быть </w:t>
      </w:r>
      <w:r w:rsidR="00922AD4" w:rsidRPr="009758EE">
        <w:rPr>
          <w:szCs w:val="24"/>
        </w:rPr>
        <w:t>приложены заверенные</w:t>
      </w:r>
      <w:r w:rsidRPr="009758EE">
        <w:rPr>
          <w:szCs w:val="24"/>
        </w:rPr>
        <w:t xml:space="preserve"> подписью и печатью Исполнителя </w:t>
      </w:r>
      <w:r w:rsidR="006C1268" w:rsidRPr="003453C6">
        <w:rPr>
          <w:szCs w:val="24"/>
        </w:rPr>
        <w:t xml:space="preserve">коммунальных услуг </w:t>
      </w:r>
      <w:r w:rsidRPr="009758EE">
        <w:rPr>
          <w:szCs w:val="24"/>
        </w:rPr>
        <w:t>реестры с показаниями ИПУ и объемом потребления, начисленному по каждому</w:t>
      </w:r>
      <w:r w:rsidR="006C1268">
        <w:rPr>
          <w:szCs w:val="24"/>
        </w:rPr>
        <w:t xml:space="preserve"> </w:t>
      </w:r>
      <w:r w:rsidRPr="009758EE">
        <w:rPr>
          <w:szCs w:val="24"/>
        </w:rPr>
        <w:t>жилому помещению многоквартирного дома в формате приложения №8.</w:t>
      </w:r>
      <w:r w:rsidR="008107B4">
        <w:rPr>
          <w:szCs w:val="24"/>
        </w:rPr>
        <w:t xml:space="preserve"> </w:t>
      </w:r>
    </w:p>
    <w:p w:rsidR="008400CE" w:rsidRDefault="00A00537" w:rsidP="00695A09">
      <w:pPr>
        <w:pStyle w:val="afb"/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4"/>
        </w:rPr>
      </w:pPr>
      <w:r w:rsidRPr="008107B4">
        <w:rPr>
          <w:szCs w:val="24"/>
        </w:rPr>
        <w:t xml:space="preserve">Производить по требованию </w:t>
      </w:r>
      <w:r w:rsidR="008107B4">
        <w:rPr>
          <w:szCs w:val="24"/>
        </w:rPr>
        <w:t>ООО «МРЦ»</w:t>
      </w:r>
      <w:r w:rsidRPr="008107B4">
        <w:rPr>
          <w:szCs w:val="24"/>
        </w:rPr>
        <w:t xml:space="preserve"> (не реже одного раза в квартал) сверку расчетов</w:t>
      </w:r>
      <w:r w:rsidR="008400CE">
        <w:rPr>
          <w:szCs w:val="24"/>
        </w:rPr>
        <w:t>.</w:t>
      </w:r>
    </w:p>
    <w:p w:rsidR="0020316D" w:rsidRDefault="008400CE" w:rsidP="00695A09">
      <w:pPr>
        <w:pStyle w:val="afb"/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Направлять </w:t>
      </w:r>
      <w:r w:rsidRPr="008107B4">
        <w:rPr>
          <w:szCs w:val="24"/>
        </w:rPr>
        <w:t xml:space="preserve">(не реже одного раза </w:t>
      </w:r>
      <w:r w:rsidR="00E738D6">
        <w:rPr>
          <w:szCs w:val="24"/>
        </w:rPr>
        <w:t xml:space="preserve">в </w:t>
      </w:r>
      <w:r w:rsidR="00EF1044">
        <w:rPr>
          <w:szCs w:val="24"/>
        </w:rPr>
        <w:t>квартал</w:t>
      </w:r>
      <w:r w:rsidRPr="008107B4">
        <w:rPr>
          <w:szCs w:val="24"/>
        </w:rPr>
        <w:t>)</w:t>
      </w:r>
      <w:r w:rsidR="00DC0B82">
        <w:rPr>
          <w:szCs w:val="24"/>
        </w:rPr>
        <w:t xml:space="preserve"> в ООО «МРЦ»</w:t>
      </w:r>
      <w:r w:rsidRPr="008107B4">
        <w:rPr>
          <w:szCs w:val="24"/>
        </w:rPr>
        <w:t xml:space="preserve"> </w:t>
      </w:r>
      <w:r w:rsidR="00DC0B82" w:rsidRPr="008F31B5">
        <w:rPr>
          <w:szCs w:val="24"/>
        </w:rPr>
        <w:t>на  e-</w:t>
      </w:r>
      <w:proofErr w:type="spellStart"/>
      <w:r w:rsidR="00DC0B82" w:rsidRPr="008F31B5">
        <w:rPr>
          <w:szCs w:val="24"/>
        </w:rPr>
        <w:t>mail</w:t>
      </w:r>
      <w:proofErr w:type="spellEnd"/>
      <w:r w:rsidR="00DC0B82" w:rsidRPr="008F31B5">
        <w:rPr>
          <w:szCs w:val="24"/>
        </w:rPr>
        <w:t>:</w:t>
      </w:r>
      <w:r w:rsidR="00DC0B82">
        <w:rPr>
          <w:szCs w:val="24"/>
        </w:rPr>
        <w:t xml:space="preserve"> </w:t>
      </w:r>
      <w:hyperlink r:id="rId11" w:history="1">
        <w:r w:rsidR="00DC0B82" w:rsidRPr="003B5A67">
          <w:rPr>
            <w:rStyle w:val="af9"/>
            <w:szCs w:val="24"/>
          </w:rPr>
          <w:t>pokazaniya@astrc.ru</w:t>
        </w:r>
      </w:hyperlink>
      <w:r w:rsidR="00DC0B82">
        <w:rPr>
          <w:rStyle w:val="af9"/>
          <w:szCs w:val="24"/>
        </w:rPr>
        <w:t xml:space="preserve"> </w:t>
      </w:r>
      <w:r w:rsidR="00DC0B82">
        <w:rPr>
          <w:szCs w:val="24"/>
        </w:rPr>
        <w:t xml:space="preserve"> </w:t>
      </w:r>
      <w:r w:rsidR="00695A09" w:rsidRPr="008400CE">
        <w:rPr>
          <w:szCs w:val="24"/>
        </w:rPr>
        <w:t>показаний индивидуальны</w:t>
      </w:r>
      <w:r w:rsidR="00926E11" w:rsidRPr="008400CE">
        <w:rPr>
          <w:szCs w:val="24"/>
        </w:rPr>
        <w:t>х (квартирных) приборов учета</w:t>
      </w:r>
      <w:r w:rsidR="00EF1044">
        <w:rPr>
          <w:szCs w:val="24"/>
        </w:rPr>
        <w:t xml:space="preserve"> и общедомовых приборов учета</w:t>
      </w:r>
      <w:r w:rsidR="00695A09" w:rsidRPr="008400CE">
        <w:rPr>
          <w:szCs w:val="24"/>
        </w:rPr>
        <w:t xml:space="preserve"> с использованием фотофиксации показаний (</w:t>
      </w:r>
      <w:r w:rsidR="009B3B44" w:rsidRPr="008400CE">
        <w:rPr>
          <w:szCs w:val="24"/>
        </w:rPr>
        <w:t>п</w:t>
      </w:r>
      <w:r w:rsidR="00695A09" w:rsidRPr="008400CE">
        <w:rPr>
          <w:szCs w:val="24"/>
        </w:rPr>
        <w:t>роведение фотофиксации включает в себя фотосъемку прибора учета с обязательным отражением на снимке даты, времени фотофиксации, заводского номера и показаний расчетного прибора учета)</w:t>
      </w:r>
      <w:r w:rsidR="00435475" w:rsidRPr="008400CE">
        <w:rPr>
          <w:szCs w:val="24"/>
        </w:rPr>
        <w:t>. Наименование файла должно состоять из № лицевого счета и/или адреса МКЖД и № квартиры</w:t>
      </w:r>
      <w:r w:rsidR="00695A09" w:rsidRPr="008400CE">
        <w:rPr>
          <w:szCs w:val="24"/>
        </w:rPr>
        <w:t>.</w:t>
      </w:r>
    </w:p>
    <w:p w:rsidR="009D5618" w:rsidRDefault="00DC0B82" w:rsidP="00D94AB5">
      <w:pPr>
        <w:pStyle w:val="afb"/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В случае </w:t>
      </w:r>
      <w:r w:rsidR="004F02DB" w:rsidRPr="00DC0B82">
        <w:rPr>
          <w:szCs w:val="24"/>
        </w:rPr>
        <w:t>непредставлени</w:t>
      </w:r>
      <w:r w:rsidR="00922AD4">
        <w:rPr>
          <w:szCs w:val="24"/>
        </w:rPr>
        <w:t xml:space="preserve">я </w:t>
      </w:r>
      <w:r w:rsidR="004F02DB" w:rsidRPr="00DC0B82">
        <w:rPr>
          <w:szCs w:val="24"/>
        </w:rPr>
        <w:t>показаний индивидуальных (квартирных) приборов учета</w:t>
      </w:r>
      <w:r w:rsidR="00922AD4">
        <w:rPr>
          <w:szCs w:val="24"/>
        </w:rPr>
        <w:t xml:space="preserve"> и/или ОДПУ</w:t>
      </w:r>
      <w:r w:rsidR="00CF52F7" w:rsidRPr="00DC0B82">
        <w:rPr>
          <w:szCs w:val="24"/>
        </w:rPr>
        <w:t>, объем коммунального ресурса, подлежащий оплате потребителями</w:t>
      </w:r>
      <w:r w:rsidR="005B00A1" w:rsidRPr="00DC0B82">
        <w:rPr>
          <w:szCs w:val="24"/>
        </w:rPr>
        <w:t>,</w:t>
      </w:r>
      <w:r w:rsidR="00CF52F7" w:rsidRPr="00DC0B82">
        <w:rPr>
          <w:szCs w:val="24"/>
        </w:rPr>
        <w:t xml:space="preserve"> определяется</w:t>
      </w:r>
      <w:r w:rsidR="00A37E61">
        <w:rPr>
          <w:szCs w:val="24"/>
        </w:rPr>
        <w:t xml:space="preserve"> </w:t>
      </w:r>
      <w:r w:rsidR="00CF52F7" w:rsidRPr="00DC0B82">
        <w:rPr>
          <w:szCs w:val="24"/>
        </w:rPr>
        <w:t xml:space="preserve">по правилам </w:t>
      </w:r>
      <w:r w:rsidR="00CF52F7" w:rsidRPr="00DC0B82">
        <w:rPr>
          <w:rFonts w:eastAsiaTheme="minorHAnsi"/>
          <w:szCs w:val="24"/>
          <w:lang w:eastAsia="en-US"/>
        </w:rPr>
        <w:t xml:space="preserve">Постановления Правительства РФ от 06.05.2011 N 354 "О предоставлении коммунальных услуг собственникам и пользователям помещений в многоквартирных домах и </w:t>
      </w:r>
      <w:r w:rsidR="00CF52F7" w:rsidRPr="002967A7">
        <w:rPr>
          <w:szCs w:val="24"/>
        </w:rPr>
        <w:t>жилых домов"</w:t>
      </w:r>
      <w:r w:rsidR="00A37E61" w:rsidRPr="002967A7">
        <w:rPr>
          <w:szCs w:val="24"/>
        </w:rPr>
        <w:t xml:space="preserve"> (см. сноску к памятке п. </w:t>
      </w:r>
      <w:r w:rsidR="002967A7" w:rsidRPr="002967A7">
        <w:rPr>
          <w:szCs w:val="24"/>
        </w:rPr>
        <w:t>3</w:t>
      </w:r>
      <w:r w:rsidR="00A37E61" w:rsidRPr="002967A7">
        <w:rPr>
          <w:szCs w:val="24"/>
        </w:rPr>
        <w:t>)</w:t>
      </w:r>
      <w:r w:rsidR="002967A7">
        <w:rPr>
          <w:szCs w:val="24"/>
        </w:rPr>
        <w:t>.</w:t>
      </w:r>
    </w:p>
    <w:p w:rsidR="00EF1044" w:rsidRPr="005C3915" w:rsidRDefault="002967A7" w:rsidP="005C3915">
      <w:pPr>
        <w:pStyle w:val="afb"/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В случае выхода из строя ОДПУ</w:t>
      </w:r>
      <w:r w:rsidRPr="00DC0B82">
        <w:rPr>
          <w:szCs w:val="24"/>
        </w:rPr>
        <w:t>, объем коммунального ресурса, подлежащий оплате потребителями, определяется</w:t>
      </w:r>
      <w:r>
        <w:rPr>
          <w:szCs w:val="24"/>
        </w:rPr>
        <w:t xml:space="preserve"> </w:t>
      </w:r>
      <w:r w:rsidRPr="00DC0B82">
        <w:rPr>
          <w:szCs w:val="24"/>
        </w:rPr>
        <w:t xml:space="preserve">по правилам </w:t>
      </w:r>
      <w:r w:rsidRPr="00DC0B82">
        <w:rPr>
          <w:rFonts w:eastAsiaTheme="minorHAnsi"/>
          <w:szCs w:val="24"/>
          <w:lang w:eastAsia="en-US"/>
        </w:rPr>
        <w:t xml:space="preserve">Постановления Правительства РФ от 06.05.2011 N 354 "О предоставлении коммунальных услуг собственникам и пользователям помещений в многоквартирных домах и </w:t>
      </w:r>
      <w:r w:rsidRPr="002967A7">
        <w:rPr>
          <w:szCs w:val="24"/>
        </w:rPr>
        <w:t xml:space="preserve">жилых домов" (см. сноску к памятке п. </w:t>
      </w:r>
      <w:r>
        <w:rPr>
          <w:szCs w:val="24"/>
        </w:rPr>
        <w:t>2</w:t>
      </w:r>
      <w:r w:rsidR="00EF1044">
        <w:rPr>
          <w:szCs w:val="24"/>
        </w:rPr>
        <w:t>, п.3</w:t>
      </w:r>
      <w:r w:rsidRPr="002967A7">
        <w:rPr>
          <w:szCs w:val="24"/>
        </w:rPr>
        <w:t>)</w:t>
      </w:r>
      <w:r>
        <w:rPr>
          <w:szCs w:val="24"/>
        </w:rPr>
        <w:t>.</w:t>
      </w:r>
      <w:bookmarkStart w:id="0" w:name="_GoBack"/>
      <w:bookmarkEnd w:id="0"/>
    </w:p>
    <w:p w:rsidR="00EF1044" w:rsidRPr="00EF1044" w:rsidRDefault="00EF1044" w:rsidP="00824902">
      <w:pPr>
        <w:pStyle w:val="afb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EF1044">
        <w:rPr>
          <w:szCs w:val="24"/>
        </w:rPr>
        <w:lastRenderedPageBreak/>
        <w:t xml:space="preserve">Если по результатам проверки расчетных коллективных (общедомовых) приборов учета будет установлена разница между снятыми в результате такой проверки показаниями прибора учета и показаниями прибора учета, предоставленными Исполнителем, </w:t>
      </w:r>
      <w:r w:rsidRPr="00EF1044">
        <w:rPr>
          <w:szCs w:val="24"/>
        </w:rPr>
        <w:t>ООО «МРЦ»</w:t>
      </w:r>
      <w:r w:rsidRPr="00EF1044">
        <w:rPr>
          <w:szCs w:val="24"/>
        </w:rPr>
        <w:t xml:space="preserve"> проводится </w:t>
      </w:r>
      <w:r w:rsidRPr="00EF1044">
        <w:rPr>
          <w:rFonts w:eastAsiaTheme="minorHAnsi"/>
          <w:szCs w:val="24"/>
          <w:lang w:eastAsia="en-US"/>
        </w:rPr>
        <w:t>перерасчет размера платы за электрическую энергию</w:t>
      </w:r>
      <w:r>
        <w:rPr>
          <w:rFonts w:eastAsiaTheme="minorHAnsi"/>
          <w:szCs w:val="24"/>
          <w:lang w:eastAsia="en-US"/>
        </w:rPr>
        <w:t>.</w:t>
      </w:r>
    </w:p>
    <w:p w:rsidR="00EF1044" w:rsidRPr="00EF1044" w:rsidRDefault="00EF1044" w:rsidP="00EF1044">
      <w:pPr>
        <w:pStyle w:val="afb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Cs w:val="24"/>
        </w:rPr>
      </w:pPr>
      <w:r w:rsidRPr="00EF1044">
        <w:rPr>
          <w:szCs w:val="24"/>
        </w:rPr>
        <w:t>В случае произведения потребителям</w:t>
      </w:r>
      <w:r>
        <w:rPr>
          <w:szCs w:val="24"/>
        </w:rPr>
        <w:t xml:space="preserve"> (физическим лицам)</w:t>
      </w:r>
      <w:r w:rsidRPr="00EF1044">
        <w:rPr>
          <w:szCs w:val="24"/>
        </w:rPr>
        <w:t xml:space="preserve"> перерасчетов объема потребленной коммунальной услуги, в том числе на основании фактических показаний индивидуальных приборов учета, объем потребленного коммунального ресурса, поставленного на ОДН в период проведения такого перерасчета потребителям, подлежит определению с учетом скорректированных значений показаний индивидуальных приборов учета.</w:t>
      </w:r>
    </w:p>
    <w:p w:rsidR="00EF1044" w:rsidRPr="00EF1044" w:rsidRDefault="00EF1044" w:rsidP="00EF1044">
      <w:pPr>
        <w:pStyle w:val="afb"/>
        <w:numPr>
          <w:ilvl w:val="0"/>
          <w:numId w:val="11"/>
        </w:numPr>
        <w:tabs>
          <w:tab w:val="left" w:pos="709"/>
          <w:tab w:val="left" w:pos="851"/>
        </w:tabs>
        <w:jc w:val="both"/>
        <w:rPr>
          <w:szCs w:val="24"/>
        </w:rPr>
      </w:pPr>
      <w:r w:rsidRPr="00EF1044">
        <w:rPr>
          <w:szCs w:val="24"/>
        </w:rPr>
        <w:t>При непредоставлении И</w:t>
      </w:r>
      <w:r>
        <w:rPr>
          <w:szCs w:val="24"/>
        </w:rPr>
        <w:t>КУ</w:t>
      </w:r>
      <w:r w:rsidRPr="00EF1044">
        <w:rPr>
          <w:szCs w:val="24"/>
        </w:rPr>
        <w:t xml:space="preserve"> показаний по ОДПУ и объемов по ИПУ за период более 3 месяцев дополнительное соглашение считается утратившим силу</w:t>
      </w:r>
      <w:r>
        <w:rPr>
          <w:szCs w:val="24"/>
        </w:rPr>
        <w:t>.</w:t>
      </w:r>
    </w:p>
    <w:p w:rsidR="00A37E61" w:rsidRDefault="00A37E61" w:rsidP="00A37E61">
      <w:pPr>
        <w:autoSpaceDE w:val="0"/>
        <w:autoSpaceDN w:val="0"/>
        <w:adjustRightInd w:val="0"/>
        <w:jc w:val="both"/>
        <w:rPr>
          <w:szCs w:val="24"/>
        </w:rPr>
      </w:pPr>
    </w:p>
    <w:p w:rsidR="00A37E61" w:rsidRDefault="00A37E61" w:rsidP="00A37E61">
      <w:pPr>
        <w:autoSpaceDE w:val="0"/>
        <w:autoSpaceDN w:val="0"/>
        <w:adjustRightInd w:val="0"/>
        <w:jc w:val="both"/>
        <w:rPr>
          <w:szCs w:val="24"/>
        </w:rPr>
      </w:pPr>
    </w:p>
    <w:p w:rsidR="00A37E61" w:rsidRDefault="00A37E61" w:rsidP="00A37E61">
      <w:pPr>
        <w:autoSpaceDE w:val="0"/>
        <w:autoSpaceDN w:val="0"/>
        <w:adjustRightInd w:val="0"/>
        <w:jc w:val="both"/>
        <w:rPr>
          <w:szCs w:val="24"/>
        </w:rPr>
      </w:pPr>
    </w:p>
    <w:p w:rsidR="00A37E61" w:rsidRPr="00EF1044" w:rsidRDefault="00A37E61" w:rsidP="00A37E61">
      <w:pPr>
        <w:autoSpaceDE w:val="0"/>
        <w:autoSpaceDN w:val="0"/>
        <w:adjustRightInd w:val="0"/>
        <w:jc w:val="both"/>
        <w:rPr>
          <w:b/>
          <w:szCs w:val="24"/>
        </w:rPr>
      </w:pPr>
      <w:r w:rsidRPr="00EF1044">
        <w:rPr>
          <w:b/>
          <w:szCs w:val="24"/>
        </w:rPr>
        <w:t>Сноски к памятке:</w:t>
      </w:r>
    </w:p>
    <w:p w:rsidR="00A37E61" w:rsidRPr="00EF1044" w:rsidRDefault="00A37E61" w:rsidP="00A37E61">
      <w:pPr>
        <w:pStyle w:val="afb"/>
        <w:tabs>
          <w:tab w:val="left" w:pos="709"/>
          <w:tab w:val="left" w:pos="851"/>
        </w:tabs>
        <w:ind w:left="1069"/>
        <w:jc w:val="both"/>
        <w:rPr>
          <w:szCs w:val="24"/>
        </w:rPr>
      </w:pPr>
      <w:r w:rsidRPr="00EF1044">
        <w:rPr>
          <w:b/>
          <w:szCs w:val="24"/>
        </w:rPr>
        <w:t>П. 1.</w:t>
      </w:r>
      <w:r w:rsidRPr="00EF1044">
        <w:rPr>
          <w:szCs w:val="24"/>
        </w:rPr>
        <w:t xml:space="preserve"> При предоставлении информации для произведения начислений, объем коммунального ресурса, подлежащий оплате Исполнителем в отношении многоквартирных домов, оборудованных общедомовыми приборами учета, определяется на основании показаний указанных приборов учета по формуле в соответствии с п. 21(1) Постановления Правительства РФ № 124 от 14.02.2012 г.:</w:t>
      </w:r>
    </w:p>
    <w:p w:rsidR="00A37E61" w:rsidRPr="00EF1044" w:rsidRDefault="00A37E61" w:rsidP="00A37E61">
      <w:pPr>
        <w:pStyle w:val="afb"/>
        <w:tabs>
          <w:tab w:val="left" w:pos="709"/>
          <w:tab w:val="left" w:pos="851"/>
        </w:tabs>
        <w:ind w:left="1069"/>
        <w:jc w:val="both"/>
        <w:rPr>
          <w:szCs w:val="24"/>
        </w:rPr>
      </w:pPr>
      <w:r w:rsidRPr="00EF1044">
        <w:rPr>
          <w:szCs w:val="24"/>
        </w:rPr>
        <w:t xml:space="preserve">V д = V </w:t>
      </w:r>
      <w:proofErr w:type="spellStart"/>
      <w:r w:rsidRPr="00EF1044">
        <w:rPr>
          <w:szCs w:val="24"/>
        </w:rPr>
        <w:t>одпу</w:t>
      </w:r>
      <w:proofErr w:type="spellEnd"/>
      <w:r w:rsidRPr="00EF1044">
        <w:rPr>
          <w:szCs w:val="24"/>
        </w:rPr>
        <w:t xml:space="preserve"> – V </w:t>
      </w:r>
      <w:proofErr w:type="spellStart"/>
      <w:r w:rsidRPr="00EF1044">
        <w:rPr>
          <w:szCs w:val="24"/>
        </w:rPr>
        <w:t>потр</w:t>
      </w:r>
      <w:proofErr w:type="spellEnd"/>
      <w:r w:rsidRPr="00EF1044">
        <w:rPr>
          <w:szCs w:val="24"/>
        </w:rPr>
        <w:t>,</w:t>
      </w:r>
    </w:p>
    <w:p w:rsidR="00A37E61" w:rsidRPr="00EF1044" w:rsidRDefault="00A37E61" w:rsidP="00A37E61">
      <w:pPr>
        <w:pStyle w:val="afb"/>
        <w:tabs>
          <w:tab w:val="left" w:pos="709"/>
          <w:tab w:val="left" w:pos="851"/>
        </w:tabs>
        <w:ind w:left="1069"/>
        <w:jc w:val="both"/>
        <w:rPr>
          <w:szCs w:val="24"/>
        </w:rPr>
      </w:pPr>
      <w:r w:rsidRPr="00EF1044">
        <w:rPr>
          <w:szCs w:val="24"/>
        </w:rPr>
        <w:t>где:</w:t>
      </w:r>
    </w:p>
    <w:p w:rsidR="00A37E61" w:rsidRPr="00EF1044" w:rsidRDefault="00A37E61" w:rsidP="00A37E61">
      <w:pPr>
        <w:pStyle w:val="afb"/>
        <w:tabs>
          <w:tab w:val="left" w:pos="709"/>
          <w:tab w:val="left" w:pos="851"/>
        </w:tabs>
        <w:ind w:left="1069"/>
        <w:jc w:val="both"/>
        <w:rPr>
          <w:szCs w:val="24"/>
        </w:rPr>
      </w:pPr>
      <w:r w:rsidRPr="00EF1044">
        <w:rPr>
          <w:szCs w:val="24"/>
        </w:rPr>
        <w:t xml:space="preserve">V </w:t>
      </w:r>
      <w:proofErr w:type="spellStart"/>
      <w:r w:rsidRPr="00EF1044">
        <w:rPr>
          <w:szCs w:val="24"/>
        </w:rPr>
        <w:t>одпу</w:t>
      </w:r>
      <w:proofErr w:type="spellEnd"/>
      <w:r w:rsidRPr="00EF1044">
        <w:rPr>
          <w:szCs w:val="24"/>
        </w:rPr>
        <w:t xml:space="preserve"> - объем коммунального ресурса, определенный по показаниям коллективного (общедомового) прибора учета за расчетный период (расчетный месяц), предоставленный ИКУ;</w:t>
      </w:r>
    </w:p>
    <w:p w:rsidR="00A37E61" w:rsidRPr="00EF1044" w:rsidRDefault="00A37E61" w:rsidP="00A37E61">
      <w:pPr>
        <w:pStyle w:val="afb"/>
        <w:tabs>
          <w:tab w:val="left" w:pos="709"/>
          <w:tab w:val="left" w:pos="851"/>
        </w:tabs>
        <w:ind w:left="1069"/>
        <w:jc w:val="both"/>
        <w:rPr>
          <w:szCs w:val="24"/>
        </w:rPr>
      </w:pPr>
      <w:r w:rsidRPr="00EF1044">
        <w:rPr>
          <w:szCs w:val="24"/>
        </w:rPr>
        <w:t xml:space="preserve">V </w:t>
      </w:r>
      <w:proofErr w:type="spellStart"/>
      <w:r w:rsidRPr="00EF1044">
        <w:rPr>
          <w:szCs w:val="24"/>
        </w:rPr>
        <w:t>потр</w:t>
      </w:r>
      <w:proofErr w:type="spellEnd"/>
      <w:r w:rsidRPr="00EF1044">
        <w:rPr>
          <w:szCs w:val="24"/>
        </w:rPr>
        <w:t xml:space="preserve"> - объем коммунального ресурса, подлежащий оплате потребителями в многоквартирном доме, определенный за расчетный период (расчетный месяц) в соответствии с Правилами предоставления коммунальных услуг, предоставленный ИКУ.</w:t>
      </w:r>
    </w:p>
    <w:p w:rsidR="00A37E61" w:rsidRPr="00EF1044" w:rsidRDefault="00A37E61" w:rsidP="00A37E61">
      <w:pPr>
        <w:pStyle w:val="afb"/>
        <w:tabs>
          <w:tab w:val="left" w:pos="709"/>
          <w:tab w:val="left" w:pos="851"/>
        </w:tabs>
        <w:ind w:left="1069"/>
        <w:jc w:val="both"/>
        <w:rPr>
          <w:szCs w:val="24"/>
        </w:rPr>
      </w:pPr>
      <w:r w:rsidRPr="00EF1044">
        <w:rPr>
          <w:szCs w:val="24"/>
        </w:rPr>
        <w:t xml:space="preserve"> </w:t>
      </w:r>
    </w:p>
    <w:p w:rsidR="00A37E61" w:rsidRPr="00EF1044" w:rsidRDefault="00A37E61" w:rsidP="00A37E61">
      <w:pPr>
        <w:pStyle w:val="afb"/>
        <w:ind w:left="1069"/>
        <w:jc w:val="both"/>
        <w:rPr>
          <w:szCs w:val="24"/>
        </w:rPr>
      </w:pPr>
    </w:p>
    <w:p w:rsidR="00A37E61" w:rsidRPr="00EF1044" w:rsidRDefault="00A37E61" w:rsidP="00A37E61">
      <w:pPr>
        <w:pStyle w:val="afb"/>
        <w:autoSpaceDE w:val="0"/>
        <w:autoSpaceDN w:val="0"/>
        <w:adjustRightInd w:val="0"/>
        <w:ind w:left="1069"/>
        <w:jc w:val="both"/>
        <w:rPr>
          <w:szCs w:val="24"/>
        </w:rPr>
      </w:pPr>
      <w:r w:rsidRPr="00EF1044">
        <w:rPr>
          <w:b/>
          <w:szCs w:val="24"/>
        </w:rPr>
        <w:t>П. 2.</w:t>
      </w:r>
      <w:r w:rsidRPr="00EF1044">
        <w:rPr>
          <w:szCs w:val="24"/>
        </w:rPr>
        <w:t xml:space="preserve"> Объем электроэнергии, подлежащий оплате Исполнителем по настоящему договору в отношении многоквартирного дома в случае выхода из строя, утраты ранее введенного в эксплуатацию коллективного (общедомового) прибора учета или истечения срока его эксплуатации в течение 3 месяцев после наступления такого события (если период работы прибора учета составил более 3 месяцев) за расчетный период (расчетный месяц) определяется по формуле:</w:t>
      </w:r>
    </w:p>
    <w:p w:rsidR="00A37E61" w:rsidRPr="00EF1044" w:rsidRDefault="00A37E61" w:rsidP="00A37E61">
      <w:pPr>
        <w:pStyle w:val="afb"/>
        <w:tabs>
          <w:tab w:val="left" w:pos="426"/>
        </w:tabs>
        <w:autoSpaceDE w:val="0"/>
        <w:autoSpaceDN w:val="0"/>
        <w:adjustRightInd w:val="0"/>
        <w:ind w:left="1069"/>
        <w:jc w:val="both"/>
        <w:outlineLvl w:val="0"/>
        <w:rPr>
          <w:szCs w:val="24"/>
        </w:rPr>
      </w:pPr>
    </w:p>
    <w:p w:rsidR="00A37E61" w:rsidRPr="00EF1044" w:rsidRDefault="00A37E61" w:rsidP="00A37E61">
      <w:pPr>
        <w:pStyle w:val="afb"/>
        <w:autoSpaceDE w:val="0"/>
        <w:autoSpaceDN w:val="0"/>
        <w:adjustRightInd w:val="0"/>
        <w:ind w:left="1069"/>
        <w:outlineLvl w:val="0"/>
        <w:rPr>
          <w:szCs w:val="24"/>
        </w:rPr>
      </w:pPr>
      <w:r w:rsidRPr="00EF1044">
        <w:rPr>
          <w:szCs w:val="24"/>
        </w:rPr>
        <w:t>VД = Vодн1</w:t>
      </w:r>
    </w:p>
    <w:p w:rsidR="00A37E61" w:rsidRPr="00EF1044" w:rsidRDefault="00A37E61" w:rsidP="00A37E61">
      <w:pPr>
        <w:pStyle w:val="afb"/>
        <w:autoSpaceDE w:val="0"/>
        <w:autoSpaceDN w:val="0"/>
        <w:adjustRightInd w:val="0"/>
        <w:ind w:left="1069"/>
        <w:jc w:val="both"/>
        <w:rPr>
          <w:szCs w:val="24"/>
        </w:rPr>
      </w:pPr>
      <w:r w:rsidRPr="00EF1044">
        <w:rPr>
          <w:szCs w:val="24"/>
        </w:rPr>
        <w:t>где:</w:t>
      </w:r>
    </w:p>
    <w:p w:rsidR="00A37E61" w:rsidRPr="00EF1044" w:rsidRDefault="00A37E61" w:rsidP="00A37E61">
      <w:pPr>
        <w:pStyle w:val="afb"/>
        <w:autoSpaceDE w:val="0"/>
        <w:autoSpaceDN w:val="0"/>
        <w:adjustRightInd w:val="0"/>
        <w:ind w:left="1069"/>
        <w:jc w:val="both"/>
        <w:outlineLvl w:val="0"/>
        <w:rPr>
          <w:szCs w:val="24"/>
        </w:rPr>
      </w:pPr>
      <w:r w:rsidRPr="00EF1044">
        <w:rPr>
          <w:szCs w:val="24"/>
        </w:rPr>
        <w:t>Vодн1 - объем (количество) коммунального ресурса, потребленного при содержании общего имущества в многоквартирном доме, определенный за расчетный период исходя из среднемесячного объема потребления коммунального ресурса, рассчитанного в случаях и в порядке, которые предусмотрены Правилами предоставления коммунальных услуг;</w:t>
      </w:r>
    </w:p>
    <w:p w:rsidR="00A37E61" w:rsidRPr="00EF1044" w:rsidRDefault="00A37E61" w:rsidP="00A37E61">
      <w:pPr>
        <w:pStyle w:val="afb"/>
        <w:ind w:left="1069"/>
        <w:jc w:val="both"/>
        <w:rPr>
          <w:szCs w:val="24"/>
        </w:rPr>
      </w:pPr>
    </w:p>
    <w:p w:rsidR="00A37E61" w:rsidRPr="00EF1044" w:rsidRDefault="00A37E61" w:rsidP="00A37E61">
      <w:pPr>
        <w:pStyle w:val="afb"/>
        <w:autoSpaceDE w:val="0"/>
        <w:autoSpaceDN w:val="0"/>
        <w:adjustRightInd w:val="0"/>
        <w:ind w:left="1069"/>
        <w:jc w:val="both"/>
        <w:rPr>
          <w:szCs w:val="24"/>
        </w:rPr>
      </w:pPr>
      <w:r w:rsidRPr="00EF1044">
        <w:rPr>
          <w:b/>
          <w:szCs w:val="24"/>
        </w:rPr>
        <w:t>П. 3.</w:t>
      </w:r>
      <w:r w:rsidRPr="00EF1044">
        <w:rPr>
          <w:szCs w:val="24"/>
        </w:rPr>
        <w:t xml:space="preserve">  Объем коммунального ресурса, поставляемого в многоквартирный дом, не оборудованный коллективным (общедомовым) прибором учета, либо после выхода из строя, утраты ранее введенного в эксплуатацию коллективного (общедомового) прибора учета или истечения срока его эксплуатации, если </w:t>
      </w:r>
      <w:r w:rsidRPr="00EF1044">
        <w:rPr>
          <w:szCs w:val="24"/>
        </w:rPr>
        <w:lastRenderedPageBreak/>
        <w:t xml:space="preserve">период работы прибора учета составил менее 3 месяцев, либо по истечении 3 месяцев с момента выхода из строя, утраты ранее введенного в эксплуатацию коллективного (общедомового) прибора учета или истечения срока его эксплуатации, если период работы прибора учета составил более 3 месяцев, либо при непредставлении исполнителем сведений о показаниях коллективного (общедомового) прибора учета в сроки, установленные законодательством или договором </w:t>
      </w:r>
      <w:proofErr w:type="spellStart"/>
      <w:r w:rsidRPr="00EF1044">
        <w:rPr>
          <w:szCs w:val="24"/>
        </w:rPr>
        <w:t>ресурсоснабжения</w:t>
      </w:r>
      <w:proofErr w:type="spellEnd"/>
      <w:r w:rsidRPr="00EF1044">
        <w:rPr>
          <w:szCs w:val="24"/>
        </w:rPr>
        <w:t xml:space="preserve">,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(общедомового) прибора учета (проверки достоверности представленных сведений </w:t>
      </w:r>
      <w:proofErr w:type="spellStart"/>
      <w:r w:rsidRPr="00EF1044">
        <w:rPr>
          <w:szCs w:val="24"/>
        </w:rPr>
        <w:t>опоказаниях</w:t>
      </w:r>
      <w:proofErr w:type="spellEnd"/>
      <w:r w:rsidRPr="00EF1044">
        <w:rPr>
          <w:szCs w:val="24"/>
        </w:rPr>
        <w:t xml:space="preserve"> такого прибора учета) определяется за расчетный период (расчетный месяц) по формуле:</w:t>
      </w:r>
    </w:p>
    <w:p w:rsidR="00A37E61" w:rsidRPr="00EF1044" w:rsidRDefault="00A37E61" w:rsidP="00A37E61">
      <w:pPr>
        <w:pStyle w:val="afb"/>
        <w:autoSpaceDE w:val="0"/>
        <w:autoSpaceDN w:val="0"/>
        <w:adjustRightInd w:val="0"/>
        <w:ind w:left="1069"/>
        <w:jc w:val="both"/>
        <w:rPr>
          <w:szCs w:val="24"/>
        </w:rPr>
      </w:pPr>
    </w:p>
    <w:p w:rsidR="00A37E61" w:rsidRPr="00EF1044" w:rsidRDefault="00A37E61" w:rsidP="00A37E61">
      <w:pPr>
        <w:pStyle w:val="afb"/>
        <w:autoSpaceDE w:val="0"/>
        <w:autoSpaceDN w:val="0"/>
        <w:adjustRightInd w:val="0"/>
        <w:ind w:left="1069"/>
        <w:rPr>
          <w:szCs w:val="24"/>
        </w:rPr>
      </w:pPr>
      <w:r w:rsidRPr="00EF1044">
        <w:rPr>
          <w:szCs w:val="24"/>
        </w:rPr>
        <w:drawing>
          <wp:inline distT="0" distB="0" distL="0" distR="0">
            <wp:extent cx="647065" cy="24130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044">
        <w:rPr>
          <w:szCs w:val="24"/>
        </w:rPr>
        <w:t>,</w:t>
      </w:r>
    </w:p>
    <w:p w:rsidR="00A37E61" w:rsidRPr="00EF1044" w:rsidRDefault="00A37E61" w:rsidP="00A37E61">
      <w:pPr>
        <w:pStyle w:val="afb"/>
        <w:autoSpaceDE w:val="0"/>
        <w:autoSpaceDN w:val="0"/>
        <w:adjustRightInd w:val="0"/>
        <w:ind w:left="1069"/>
        <w:jc w:val="both"/>
        <w:rPr>
          <w:szCs w:val="24"/>
        </w:rPr>
      </w:pPr>
      <w:r w:rsidRPr="00EF1044">
        <w:rPr>
          <w:szCs w:val="24"/>
        </w:rPr>
        <w:t>где:</w:t>
      </w:r>
    </w:p>
    <w:p w:rsidR="00A37E61" w:rsidRPr="00EF1044" w:rsidRDefault="00A37E61" w:rsidP="00A37E61">
      <w:pPr>
        <w:pStyle w:val="afb"/>
        <w:autoSpaceDE w:val="0"/>
        <w:autoSpaceDN w:val="0"/>
        <w:adjustRightInd w:val="0"/>
        <w:ind w:left="1069"/>
        <w:jc w:val="both"/>
        <w:rPr>
          <w:szCs w:val="24"/>
        </w:rPr>
      </w:pPr>
      <w:r w:rsidRPr="00EF1044">
        <w:rPr>
          <w:szCs w:val="24"/>
        </w:rPr>
        <w:drawing>
          <wp:inline distT="0" distB="0" distL="0" distR="0">
            <wp:extent cx="276225" cy="2413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044">
        <w:rPr>
          <w:szCs w:val="24"/>
        </w:rPr>
        <w:t xml:space="preserve"> - объем (количество) коммунального ресурса, потребленного при содержании общего имущества в многоквартирном доме в случае отсутствия коллективного (общедомового) прибора учета,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доме, утвержденных органами государственной власти субъектов Российской Федерации.</w:t>
      </w:r>
    </w:p>
    <w:p w:rsidR="00A37E61" w:rsidRPr="00A37E61" w:rsidRDefault="00A37E61" w:rsidP="00A37E61">
      <w:pPr>
        <w:pStyle w:val="afb"/>
        <w:ind w:left="1069"/>
        <w:jc w:val="both"/>
        <w:rPr>
          <w:color w:val="FF0000"/>
          <w:sz w:val="20"/>
        </w:rPr>
      </w:pPr>
    </w:p>
    <w:p w:rsidR="0023421C" w:rsidRPr="008F31B5" w:rsidRDefault="0023421C" w:rsidP="0023421C">
      <w:pPr>
        <w:autoSpaceDE w:val="0"/>
        <w:autoSpaceDN w:val="0"/>
        <w:adjustRightInd w:val="0"/>
        <w:jc w:val="both"/>
        <w:rPr>
          <w:szCs w:val="24"/>
        </w:rPr>
      </w:pPr>
    </w:p>
    <w:p w:rsidR="00D96ECC" w:rsidRPr="00D96ECC" w:rsidRDefault="00D96ECC" w:rsidP="007F356D">
      <w:pPr>
        <w:jc w:val="both"/>
        <w:rPr>
          <w:sz w:val="20"/>
        </w:rPr>
      </w:pPr>
    </w:p>
    <w:sectPr w:rsidR="00D96ECC" w:rsidRPr="00D96ECC" w:rsidSect="008E4119">
      <w:headerReference w:type="default" r:id="rId14"/>
      <w:footerReference w:type="even" r:id="rId15"/>
      <w:footerReference w:type="default" r:id="rId16"/>
      <w:pgSz w:w="11906" w:h="16838"/>
      <w:pgMar w:top="1134" w:right="850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A55" w:rsidRDefault="00B40A55" w:rsidP="007A5FCA">
      <w:r>
        <w:separator/>
      </w:r>
    </w:p>
  </w:endnote>
  <w:endnote w:type="continuationSeparator" w:id="0">
    <w:p w:rsidR="00B40A55" w:rsidRDefault="00B40A55" w:rsidP="007A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17" w:rsidRDefault="00A67F17" w:rsidP="00A67F17">
    <w:pPr>
      <w:pStyle w:val="a5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B44" w:rsidRDefault="007574BB" w:rsidP="007A5FCA">
    <w:pPr>
      <w:tabs>
        <w:tab w:val="left" w:pos="956"/>
        <w:tab w:val="center" w:pos="4153"/>
        <w:tab w:val="center" w:pos="5452"/>
      </w:tabs>
      <w:jc w:val="right"/>
    </w:pPr>
    <w:sdt>
      <w:sdtPr>
        <w:id w:val="-818336142"/>
        <w:docPartObj>
          <w:docPartGallery w:val="Page Numbers (Bottom of Page)"/>
          <w:docPartUnique/>
        </w:docPartObj>
      </w:sdtPr>
      <w:sdtContent>
        <w:r w:rsidR="00EB61B9">
          <w:fldChar w:fldCharType="begin"/>
        </w:r>
        <w:r w:rsidR="009E24CB">
          <w:instrText>PAGE   \* MERGEFORMAT</w:instrText>
        </w:r>
        <w:r w:rsidR="00EB61B9">
          <w:fldChar w:fldCharType="separate"/>
        </w:r>
        <w:r w:rsidR="00925035">
          <w:rPr>
            <w:noProof/>
          </w:rPr>
          <w:t>3</w:t>
        </w:r>
        <w:r w:rsidR="00EB61B9">
          <w:rPr>
            <w:noProof/>
          </w:rPr>
          <w:fldChar w:fldCharType="end"/>
        </w:r>
      </w:sdtContent>
    </w:sdt>
  </w:p>
  <w:p w:rsidR="009B3B44" w:rsidRDefault="009B3B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A55" w:rsidRDefault="00B40A55" w:rsidP="007A5FCA">
      <w:r>
        <w:separator/>
      </w:r>
    </w:p>
  </w:footnote>
  <w:footnote w:type="continuationSeparator" w:id="0">
    <w:p w:rsidR="00B40A55" w:rsidRDefault="00B40A55" w:rsidP="007A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B44" w:rsidRDefault="009B3B44" w:rsidP="007A5FCA">
    <w:pPr>
      <w:pStyle w:val="a3"/>
      <w:ind w:left="-1276" w:firstLine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45E"/>
    <w:multiLevelType w:val="multilevel"/>
    <w:tmpl w:val="3B825A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1" w15:restartNumberingAfterBreak="0">
    <w:nsid w:val="126C766B"/>
    <w:multiLevelType w:val="hybridMultilevel"/>
    <w:tmpl w:val="B4BAFC18"/>
    <w:lvl w:ilvl="0" w:tplc="1E2E55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A143BB"/>
    <w:multiLevelType w:val="multilevel"/>
    <w:tmpl w:val="B19E8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0744AAF"/>
    <w:multiLevelType w:val="hybridMultilevel"/>
    <w:tmpl w:val="57781542"/>
    <w:lvl w:ilvl="0" w:tplc="133AF15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7714D1"/>
    <w:multiLevelType w:val="hybridMultilevel"/>
    <w:tmpl w:val="F48436AC"/>
    <w:lvl w:ilvl="0" w:tplc="CAA21C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EC2D6A"/>
    <w:multiLevelType w:val="hybridMultilevel"/>
    <w:tmpl w:val="1898E13A"/>
    <w:lvl w:ilvl="0" w:tplc="0419000F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3DE7E33"/>
    <w:multiLevelType w:val="singleLevel"/>
    <w:tmpl w:val="865E5A6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5864231"/>
    <w:multiLevelType w:val="hybridMultilevel"/>
    <w:tmpl w:val="702844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1137D"/>
    <w:multiLevelType w:val="multilevel"/>
    <w:tmpl w:val="9508FB30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7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7" w:hanging="1440"/>
      </w:pPr>
      <w:rPr>
        <w:rFonts w:hint="default"/>
      </w:rPr>
    </w:lvl>
  </w:abstractNum>
  <w:abstractNum w:abstractNumId="9" w15:restartNumberingAfterBreak="0">
    <w:nsid w:val="5A606A81"/>
    <w:multiLevelType w:val="hybridMultilevel"/>
    <w:tmpl w:val="70BC3DB0"/>
    <w:lvl w:ilvl="0" w:tplc="0419000F">
      <w:start w:val="1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D4E75"/>
    <w:multiLevelType w:val="hybridMultilevel"/>
    <w:tmpl w:val="5E22BE3A"/>
    <w:lvl w:ilvl="0" w:tplc="0398605C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CA"/>
    <w:rsid w:val="0002704E"/>
    <w:rsid w:val="0006020C"/>
    <w:rsid w:val="000845E1"/>
    <w:rsid w:val="000A2F56"/>
    <w:rsid w:val="0011198B"/>
    <w:rsid w:val="00124FF7"/>
    <w:rsid w:val="00135B5B"/>
    <w:rsid w:val="00135BBE"/>
    <w:rsid w:val="001531F5"/>
    <w:rsid w:val="00196F75"/>
    <w:rsid w:val="001C0E0C"/>
    <w:rsid w:val="001C21FE"/>
    <w:rsid w:val="001D16FE"/>
    <w:rsid w:val="001E3532"/>
    <w:rsid w:val="0020316D"/>
    <w:rsid w:val="0023421C"/>
    <w:rsid w:val="00252FFF"/>
    <w:rsid w:val="00266E89"/>
    <w:rsid w:val="002967A7"/>
    <w:rsid w:val="002A2415"/>
    <w:rsid w:val="002B64D0"/>
    <w:rsid w:val="002D100F"/>
    <w:rsid w:val="002D18E0"/>
    <w:rsid w:val="002D4876"/>
    <w:rsid w:val="00317E14"/>
    <w:rsid w:val="0032689E"/>
    <w:rsid w:val="00332DF3"/>
    <w:rsid w:val="00333C40"/>
    <w:rsid w:val="0034139C"/>
    <w:rsid w:val="003453C6"/>
    <w:rsid w:val="003457E4"/>
    <w:rsid w:val="0035259D"/>
    <w:rsid w:val="003603C9"/>
    <w:rsid w:val="00375640"/>
    <w:rsid w:val="0040026B"/>
    <w:rsid w:val="00410700"/>
    <w:rsid w:val="00435475"/>
    <w:rsid w:val="00451A27"/>
    <w:rsid w:val="0045493E"/>
    <w:rsid w:val="004807C6"/>
    <w:rsid w:val="004A0C45"/>
    <w:rsid w:val="004C0D1F"/>
    <w:rsid w:val="004D735E"/>
    <w:rsid w:val="004D75AF"/>
    <w:rsid w:val="004E2F3C"/>
    <w:rsid w:val="004F02DB"/>
    <w:rsid w:val="00523B5C"/>
    <w:rsid w:val="0053241A"/>
    <w:rsid w:val="005423F9"/>
    <w:rsid w:val="005532AC"/>
    <w:rsid w:val="005563F0"/>
    <w:rsid w:val="00594DD6"/>
    <w:rsid w:val="00597215"/>
    <w:rsid w:val="005A4E25"/>
    <w:rsid w:val="005B00A1"/>
    <w:rsid w:val="005C3915"/>
    <w:rsid w:val="005C4B36"/>
    <w:rsid w:val="005D3965"/>
    <w:rsid w:val="005E0E37"/>
    <w:rsid w:val="005F4438"/>
    <w:rsid w:val="005F5C54"/>
    <w:rsid w:val="006232D0"/>
    <w:rsid w:val="00647481"/>
    <w:rsid w:val="00677B88"/>
    <w:rsid w:val="00695A09"/>
    <w:rsid w:val="006A3D9D"/>
    <w:rsid w:val="006C1268"/>
    <w:rsid w:val="006C4743"/>
    <w:rsid w:val="006C6FC2"/>
    <w:rsid w:val="006D08BD"/>
    <w:rsid w:val="007226B1"/>
    <w:rsid w:val="007574BB"/>
    <w:rsid w:val="00761FBA"/>
    <w:rsid w:val="0076738A"/>
    <w:rsid w:val="0078458D"/>
    <w:rsid w:val="007A5FCA"/>
    <w:rsid w:val="007B5A9C"/>
    <w:rsid w:val="007D497E"/>
    <w:rsid w:val="007E6D69"/>
    <w:rsid w:val="007F0291"/>
    <w:rsid w:val="007F356D"/>
    <w:rsid w:val="008055C9"/>
    <w:rsid w:val="00807835"/>
    <w:rsid w:val="008107B4"/>
    <w:rsid w:val="00811CF1"/>
    <w:rsid w:val="0081383F"/>
    <w:rsid w:val="008400CE"/>
    <w:rsid w:val="00853267"/>
    <w:rsid w:val="00857FDD"/>
    <w:rsid w:val="00870421"/>
    <w:rsid w:val="008779B9"/>
    <w:rsid w:val="00885C3F"/>
    <w:rsid w:val="008965D0"/>
    <w:rsid w:val="008A0FE8"/>
    <w:rsid w:val="008C2FC2"/>
    <w:rsid w:val="008C7A2B"/>
    <w:rsid w:val="008D530D"/>
    <w:rsid w:val="008D71C6"/>
    <w:rsid w:val="008E21E3"/>
    <w:rsid w:val="008E2AB9"/>
    <w:rsid w:val="008E4119"/>
    <w:rsid w:val="008F2B85"/>
    <w:rsid w:val="008F31B5"/>
    <w:rsid w:val="00900983"/>
    <w:rsid w:val="00920FE1"/>
    <w:rsid w:val="00922AD4"/>
    <w:rsid w:val="00925035"/>
    <w:rsid w:val="00926E11"/>
    <w:rsid w:val="00934BE5"/>
    <w:rsid w:val="00952928"/>
    <w:rsid w:val="009758EE"/>
    <w:rsid w:val="009B3B44"/>
    <w:rsid w:val="009D5618"/>
    <w:rsid w:val="009E24CB"/>
    <w:rsid w:val="009E29FF"/>
    <w:rsid w:val="009F3D48"/>
    <w:rsid w:val="00A00537"/>
    <w:rsid w:val="00A00862"/>
    <w:rsid w:val="00A0196D"/>
    <w:rsid w:val="00A30CB5"/>
    <w:rsid w:val="00A37E61"/>
    <w:rsid w:val="00A416F6"/>
    <w:rsid w:val="00A67F17"/>
    <w:rsid w:val="00A82AE8"/>
    <w:rsid w:val="00A94F33"/>
    <w:rsid w:val="00AA2453"/>
    <w:rsid w:val="00AA35F9"/>
    <w:rsid w:val="00AB69FD"/>
    <w:rsid w:val="00B3005C"/>
    <w:rsid w:val="00B40A55"/>
    <w:rsid w:val="00B5542D"/>
    <w:rsid w:val="00B60A7A"/>
    <w:rsid w:val="00B6258D"/>
    <w:rsid w:val="00B80D40"/>
    <w:rsid w:val="00B96945"/>
    <w:rsid w:val="00BC1C95"/>
    <w:rsid w:val="00BD07EA"/>
    <w:rsid w:val="00BD5E8E"/>
    <w:rsid w:val="00BE50C2"/>
    <w:rsid w:val="00C51A43"/>
    <w:rsid w:val="00C90BA7"/>
    <w:rsid w:val="00CB38CB"/>
    <w:rsid w:val="00CC26B9"/>
    <w:rsid w:val="00CD64A0"/>
    <w:rsid w:val="00CF52F7"/>
    <w:rsid w:val="00D263E3"/>
    <w:rsid w:val="00D4206F"/>
    <w:rsid w:val="00D82F5F"/>
    <w:rsid w:val="00D8578E"/>
    <w:rsid w:val="00D86714"/>
    <w:rsid w:val="00D94AB5"/>
    <w:rsid w:val="00D96ECC"/>
    <w:rsid w:val="00DC0B82"/>
    <w:rsid w:val="00DC2060"/>
    <w:rsid w:val="00DC3BFB"/>
    <w:rsid w:val="00DD2A6B"/>
    <w:rsid w:val="00DD6CD5"/>
    <w:rsid w:val="00DF42C4"/>
    <w:rsid w:val="00DF4308"/>
    <w:rsid w:val="00E20237"/>
    <w:rsid w:val="00E208DC"/>
    <w:rsid w:val="00E23902"/>
    <w:rsid w:val="00E57D93"/>
    <w:rsid w:val="00E6617C"/>
    <w:rsid w:val="00E738D6"/>
    <w:rsid w:val="00EB61B9"/>
    <w:rsid w:val="00ED5829"/>
    <w:rsid w:val="00ED5D3F"/>
    <w:rsid w:val="00EF1044"/>
    <w:rsid w:val="00F47E20"/>
    <w:rsid w:val="00F74CD5"/>
    <w:rsid w:val="00FC397D"/>
    <w:rsid w:val="00FD0843"/>
    <w:rsid w:val="00FE7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03A9F"/>
  <w15:docId w15:val="{4458BE29-DADC-40FE-8906-84A95C23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F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5FCA"/>
    <w:pPr>
      <w:keepNext/>
      <w:jc w:val="both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7A5FCA"/>
    <w:pPr>
      <w:keepNext/>
      <w:jc w:val="both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5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5FCA"/>
  </w:style>
  <w:style w:type="paragraph" w:styleId="a5">
    <w:name w:val="footer"/>
    <w:basedOn w:val="a"/>
    <w:link w:val="a6"/>
    <w:uiPriority w:val="99"/>
    <w:unhideWhenUsed/>
    <w:rsid w:val="007A5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5FCA"/>
  </w:style>
  <w:style w:type="character" w:customStyle="1" w:styleId="10">
    <w:name w:val="Заголовок 1 Знак"/>
    <w:basedOn w:val="a0"/>
    <w:link w:val="1"/>
    <w:rsid w:val="007A5F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5F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Title"/>
    <w:basedOn w:val="a"/>
    <w:link w:val="a8"/>
    <w:qFormat/>
    <w:rsid w:val="007A5FCA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rsid w:val="007A5FCA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 Indent"/>
    <w:basedOn w:val="a"/>
    <w:link w:val="aa"/>
    <w:rsid w:val="007A5FCA"/>
    <w:pPr>
      <w:numPr>
        <w:ilvl w:val="12"/>
      </w:numPr>
      <w:ind w:left="-142"/>
      <w:jc w:val="both"/>
    </w:pPr>
  </w:style>
  <w:style w:type="character" w:customStyle="1" w:styleId="aa">
    <w:name w:val="Основной текст с отступом Знак"/>
    <w:basedOn w:val="a0"/>
    <w:link w:val="a9"/>
    <w:rsid w:val="007A5F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A5FCA"/>
    <w:pPr>
      <w:numPr>
        <w:ilvl w:val="12"/>
      </w:numPr>
      <w:tabs>
        <w:tab w:val="left" w:pos="0"/>
      </w:tabs>
      <w:ind w:hanging="284"/>
      <w:jc w:val="both"/>
    </w:pPr>
  </w:style>
  <w:style w:type="character" w:customStyle="1" w:styleId="20">
    <w:name w:val="Основной текст с отступом 2 Знак"/>
    <w:basedOn w:val="a0"/>
    <w:link w:val="2"/>
    <w:rsid w:val="007A5F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7A5FCA"/>
    <w:pPr>
      <w:numPr>
        <w:ilvl w:val="12"/>
      </w:numPr>
      <w:jc w:val="both"/>
    </w:pPr>
  </w:style>
  <w:style w:type="character" w:customStyle="1" w:styleId="ac">
    <w:name w:val="Основной текст Знак"/>
    <w:basedOn w:val="a0"/>
    <w:link w:val="ab"/>
    <w:rsid w:val="007A5F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0"/>
    <w:rsid w:val="007A5FCA"/>
  </w:style>
  <w:style w:type="paragraph" w:styleId="31">
    <w:name w:val="Body Text Indent 3"/>
    <w:basedOn w:val="a"/>
    <w:link w:val="32"/>
    <w:rsid w:val="007A5FCA"/>
    <w:pPr>
      <w:ind w:left="-284" w:firstLine="284"/>
      <w:jc w:val="both"/>
    </w:pPr>
  </w:style>
  <w:style w:type="character" w:customStyle="1" w:styleId="32">
    <w:name w:val="Основной текст с отступом 3 Знак"/>
    <w:basedOn w:val="a0"/>
    <w:link w:val="31"/>
    <w:rsid w:val="007A5F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A5FCA"/>
    <w:rPr>
      <w:sz w:val="20"/>
    </w:rPr>
  </w:style>
  <w:style w:type="character" w:customStyle="1" w:styleId="22">
    <w:name w:val="Основной текст 2 Знак"/>
    <w:basedOn w:val="a0"/>
    <w:link w:val="21"/>
    <w:rsid w:val="007A5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7A5FCA"/>
    <w:pPr>
      <w:jc w:val="both"/>
    </w:pPr>
    <w:rPr>
      <w:sz w:val="20"/>
    </w:rPr>
  </w:style>
  <w:style w:type="character" w:customStyle="1" w:styleId="34">
    <w:name w:val="Основной текст 3 Знак"/>
    <w:basedOn w:val="a0"/>
    <w:link w:val="33"/>
    <w:rsid w:val="007A5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ioaoa">
    <w:name w:val="Iniiaiie oaeno io?aoa"/>
    <w:uiPriority w:val="99"/>
    <w:rsid w:val="007A5FCA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Balloon Text"/>
    <w:basedOn w:val="a"/>
    <w:link w:val="af"/>
    <w:semiHidden/>
    <w:rsid w:val="007A5F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A5FC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1"/>
    <w:semiHidden/>
    <w:rsid w:val="007A5FCA"/>
    <w:pPr>
      <w:shd w:val="clear" w:color="auto" w:fill="000080"/>
    </w:pPr>
    <w:rPr>
      <w:rFonts w:ascii="Tahoma" w:hAnsi="Tahoma" w:cs="Tahoma"/>
      <w:sz w:val="20"/>
    </w:rPr>
  </w:style>
  <w:style w:type="character" w:customStyle="1" w:styleId="af1">
    <w:name w:val="Схема документа Знак"/>
    <w:basedOn w:val="a0"/>
    <w:link w:val="af0"/>
    <w:semiHidden/>
    <w:rsid w:val="007A5FC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2">
    <w:name w:val="annotation reference"/>
    <w:rsid w:val="007A5FCA"/>
    <w:rPr>
      <w:sz w:val="16"/>
      <w:szCs w:val="16"/>
    </w:rPr>
  </w:style>
  <w:style w:type="paragraph" w:styleId="af3">
    <w:name w:val="annotation text"/>
    <w:basedOn w:val="a"/>
    <w:link w:val="af4"/>
    <w:rsid w:val="007A5FCA"/>
    <w:rPr>
      <w:sz w:val="20"/>
    </w:rPr>
  </w:style>
  <w:style w:type="character" w:customStyle="1" w:styleId="af4">
    <w:name w:val="Текст примечания Знак"/>
    <w:basedOn w:val="a0"/>
    <w:link w:val="af3"/>
    <w:rsid w:val="007A5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semiHidden/>
    <w:rsid w:val="007A5FCA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7A5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7A5FCA"/>
    <w:rPr>
      <w:vertAlign w:val="superscript"/>
    </w:rPr>
  </w:style>
  <w:style w:type="paragraph" w:customStyle="1" w:styleId="af8">
    <w:name w:val="Знак"/>
    <w:basedOn w:val="a"/>
    <w:rsid w:val="007A5FC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A5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sid w:val="007A5FCA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7A5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rsid w:val="007A5FCA"/>
    <w:rPr>
      <w:rFonts w:ascii="Consolas" w:eastAsia="Times New Roman" w:hAnsi="Consolas" w:cs="Times New Roman"/>
      <w:sz w:val="20"/>
      <w:szCs w:val="20"/>
      <w:lang w:eastAsia="ru-RU"/>
    </w:rPr>
  </w:style>
  <w:style w:type="character" w:styleId="af9">
    <w:name w:val="Hyperlink"/>
    <w:rsid w:val="007A5FCA"/>
    <w:rPr>
      <w:color w:val="0000FF"/>
      <w:u w:val="single"/>
    </w:rPr>
  </w:style>
  <w:style w:type="paragraph" w:customStyle="1" w:styleId="210">
    <w:name w:val="Основной текст 21"/>
    <w:basedOn w:val="a"/>
    <w:uiPriority w:val="99"/>
    <w:rsid w:val="007A5FCA"/>
    <w:pPr>
      <w:tabs>
        <w:tab w:val="left" w:pos="1134"/>
      </w:tabs>
      <w:jc w:val="both"/>
    </w:pPr>
    <w:rPr>
      <w:sz w:val="22"/>
    </w:rPr>
  </w:style>
  <w:style w:type="paragraph" w:customStyle="1" w:styleId="211">
    <w:name w:val="Основной текст с отступом 21"/>
    <w:basedOn w:val="a"/>
    <w:uiPriority w:val="99"/>
    <w:rsid w:val="007A5FCA"/>
    <w:pPr>
      <w:tabs>
        <w:tab w:val="left" w:pos="284"/>
      </w:tabs>
      <w:ind w:hanging="567"/>
      <w:jc w:val="both"/>
    </w:pPr>
    <w:rPr>
      <w:sz w:val="22"/>
    </w:rPr>
  </w:style>
  <w:style w:type="paragraph" w:customStyle="1" w:styleId="ConsPlusTitle">
    <w:name w:val="ConsPlusTitle"/>
    <w:uiPriority w:val="99"/>
    <w:rsid w:val="007A5F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a">
    <w:name w:val="Normal (Web)"/>
    <w:basedOn w:val="a"/>
    <w:rsid w:val="007A5FCA"/>
    <w:pPr>
      <w:spacing w:before="100" w:beforeAutospacing="1" w:after="100" w:afterAutospacing="1"/>
    </w:pPr>
    <w:rPr>
      <w:szCs w:val="24"/>
    </w:rPr>
  </w:style>
  <w:style w:type="paragraph" w:styleId="afb">
    <w:name w:val="List Paragraph"/>
    <w:basedOn w:val="a"/>
    <w:uiPriority w:val="34"/>
    <w:qFormat/>
    <w:rsid w:val="007A5FCA"/>
    <w:pPr>
      <w:ind w:left="720"/>
      <w:contextualSpacing/>
    </w:pPr>
  </w:style>
  <w:style w:type="paragraph" w:styleId="afc">
    <w:name w:val="annotation subject"/>
    <w:basedOn w:val="af3"/>
    <w:next w:val="af3"/>
    <w:link w:val="afd"/>
    <w:rsid w:val="007A5FCA"/>
    <w:rPr>
      <w:b/>
      <w:bCs/>
    </w:rPr>
  </w:style>
  <w:style w:type="character" w:customStyle="1" w:styleId="afd">
    <w:name w:val="Тема примечания Знак"/>
    <w:basedOn w:val="af4"/>
    <w:link w:val="afc"/>
    <w:rsid w:val="007A5F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pt0pt">
    <w:name w:val="Основной текст + 9 pt;Не полужирный;Интервал 0 pt"/>
    <w:rsid w:val="007A5FC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e">
    <w:name w:val="No Spacing"/>
    <w:uiPriority w:val="1"/>
    <w:qFormat/>
    <w:rsid w:val="007A5FC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ff">
    <w:name w:val="Emphasis"/>
    <w:uiPriority w:val="20"/>
    <w:qFormat/>
    <w:rsid w:val="007A5FCA"/>
    <w:rPr>
      <w:i/>
      <w:iCs/>
    </w:rPr>
  </w:style>
  <w:style w:type="numbering" w:customStyle="1" w:styleId="11">
    <w:name w:val="Нет списка1"/>
    <w:next w:val="a2"/>
    <w:semiHidden/>
    <w:unhideWhenUsed/>
    <w:rsid w:val="007226B1"/>
  </w:style>
  <w:style w:type="paragraph" w:styleId="aff0">
    <w:name w:val="Revision"/>
    <w:hidden/>
    <w:uiPriority w:val="99"/>
    <w:semiHidden/>
    <w:rsid w:val="007226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22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Стиль Масштаб знаков: 100%"/>
    <w:rsid w:val="00375640"/>
    <w:rPr>
      <w:w w:val="100"/>
    </w:rPr>
  </w:style>
  <w:style w:type="character" w:customStyle="1" w:styleId="aff1">
    <w:name w:val="Основной текст_"/>
    <w:basedOn w:val="a0"/>
    <w:link w:val="23"/>
    <w:rsid w:val="0023421C"/>
    <w:rPr>
      <w:shd w:val="clear" w:color="auto" w:fill="FFFFFF"/>
    </w:rPr>
  </w:style>
  <w:style w:type="paragraph" w:customStyle="1" w:styleId="23">
    <w:name w:val="Основной текст2"/>
    <w:basedOn w:val="a"/>
    <w:link w:val="aff1"/>
    <w:rsid w:val="0023421C"/>
    <w:pPr>
      <w:widowControl w:val="0"/>
      <w:shd w:val="clear" w:color="auto" w:fill="FFFFFF"/>
      <w:spacing w:before="360" w:after="240" w:line="28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2">
    <w:name w:val="Unresolved Mention"/>
    <w:basedOn w:val="a0"/>
    <w:uiPriority w:val="99"/>
    <w:semiHidden/>
    <w:unhideWhenUsed/>
    <w:rsid w:val="0032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tsevaia@astrc.ru" TargetMode="Externa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kazaniya@astrc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kazaniya@astr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kazaniya@astrc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81F3-72A2-4617-A638-026ACC4A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 Юрий Николаевич</dc:creator>
  <cp:keywords/>
  <dc:description/>
  <cp:lastModifiedBy>Омарова Римма Магомедкамилевна</cp:lastModifiedBy>
  <cp:revision>2</cp:revision>
  <cp:lastPrinted>2024-02-21T05:00:00Z</cp:lastPrinted>
  <dcterms:created xsi:type="dcterms:W3CDTF">2024-02-13T11:32:00Z</dcterms:created>
  <dcterms:modified xsi:type="dcterms:W3CDTF">2024-02-21T05:01:00Z</dcterms:modified>
</cp:coreProperties>
</file>